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200" w:line="276" w:lineRule="auto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Claudia Cabouli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Se graduó como Conservadora de Museos en la Escuela Superior de Conservadores de Museos. Completó sus estudios en la Universitá Internazionale dell´Arte, Florencia, Italia, en la especialización de Museología y Comunicación Visual (1983/1984).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Entre 1985  y 1998, fue docente de museología y preservación del patrimonio en diversos centros de formación y universidades de Argentina.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En 1984 se incorporó a la entonces Dirección Nacional de Museos, donde desempeñó distintos cargos y funciones. 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En 2002 fue designada Coordinadora General de la Dirección Nacional de Patrimonio y Museos donde fue  responsable directa de varios programas, entre ellos, la implementación del Sistema Nacional de Gestión de Bienes Culturales y la coordinación del Comité Argentino de Lucha contra el Tráfico Ilícito de Bienes Culturales.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Recibió becas del Gobierno de Italia y del Gobierno de Francia para realizar estudios sobre patrimonio y protección de bienes culturales. 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  <w:t xml:space="preserve">En diciembre de 2015, fue designada Directora Nacional de Bienes y Sitios Culturales del Ministerio de Cultura de la Nación.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