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after="200" w:line="276" w:lineRule="auto"/>
        <w:ind w:left="0" w:firstLine="0"/>
        <w:contextualSpacing w:val="0"/>
        <w:jc w:val="both"/>
        <w:rPr>
          <w:rFonts w:ascii="Calibri" w:cs="Calibri" w:eastAsia="Calibri" w:hAnsi="Calibri"/>
          <w:b w:val="1"/>
          <w:highlight w:val="white"/>
        </w:rPr>
      </w:pPr>
      <w:r w:rsidDel="00000000" w:rsidR="00000000" w:rsidRPr="00000000">
        <w:rPr>
          <w:rFonts w:ascii="Calibri" w:cs="Calibri" w:eastAsia="Calibri" w:hAnsi="Calibri"/>
          <w:b w:val="1"/>
          <w:rtl w:val="0"/>
        </w:rPr>
        <w:t xml:space="preserve">Carolina Biquard</w:t>
      </w:r>
      <w:r w:rsidDel="00000000" w:rsidR="00000000" w:rsidRPr="00000000">
        <w:rPr>
          <w:rtl w:val="0"/>
        </w:rPr>
      </w:r>
    </w:p>
    <w:p w:rsidR="00000000" w:rsidDel="00000000" w:rsidP="00000000" w:rsidRDefault="00000000" w:rsidRPr="00000000">
      <w:pPr>
        <w:widowControl w:val="0"/>
        <w:pBdr/>
        <w:spacing w:after="200" w:line="276" w:lineRule="auto"/>
        <w:ind w:left="0" w:firstLine="0"/>
        <w:contextualSpacing w:val="0"/>
        <w:jc w:val="both"/>
        <w:rPr/>
      </w:pPr>
      <w:r w:rsidDel="00000000" w:rsidR="00000000" w:rsidRPr="00000000">
        <w:rPr>
          <w:rFonts w:ascii="Calibri" w:cs="Calibri" w:eastAsia="Calibri" w:hAnsi="Calibri"/>
          <w:highlight w:val="white"/>
          <w:rtl w:val="0"/>
        </w:rPr>
        <w:t xml:space="preserve">Abogada y especialista en gestión y financiamiento de organizaciones sociales, tiene un Posgrado en Gestión de Organizaciones sin Fines de Lucro (New School University, NYC, EE.UU.). Es fundadora de Fundación Compromiso que articula las capacidades de las organizaciones de la sociedad civil, el sector empresario y el Estado en la producción de políticas públicas- Entre 2008 y 2009 fue Directora de Industrias Culturales, en la Secretaría de Cultura de la Nación. Es miembro de la Comisión Directiva del Patronato de la Infancia y fue miembro del Directorio Internacional de la Fundación Futuro Latinoamericano, dedicada a la resolución de conflictos socio-ambientales en toda la región. Se desempeñó, además, como docente en la Universidad Argentina de la Empresa, en la Escuela de Negocios de la Universidad de Belgrano, en el Programa de Relaciones Institucionales de la Universidad Austral y en otras instituciones sociales.</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