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spacing w:after="200" w:line="276" w:lineRule="auto"/>
        <w:ind w:left="993" w:firstLine="0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Alejandro Tantanian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200" w:line="276" w:lineRule="auto"/>
        <w:ind w:left="993" w:firstLine="0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sz w:val="18"/>
          <w:szCs w:val="18"/>
          <w:rtl w:val="0"/>
        </w:rPr>
        <w:t xml:space="preserve">Su labor en teatro se inicia como actor a comienzos de la década del ’80. Desde entonces, a este rol se le sumaron sus trabajos como autor, director, régisseur, cantante, docente, traductor y gestor cultural. Forma parte del colectivo de autores </w:t>
      </w:r>
      <w:r w:rsidDel="00000000" w:rsidR="00000000" w:rsidRPr="00000000">
        <w:rPr>
          <w:rFonts w:ascii="Calibri" w:cs="Calibri" w:eastAsia="Calibri" w:hAnsi="Calibri"/>
          <w:i w:val="1"/>
          <w:color w:val="333333"/>
          <w:sz w:val="18"/>
          <w:szCs w:val="18"/>
          <w:rtl w:val="0"/>
        </w:rPr>
        <w:t xml:space="preserve">Caraja-jí</w:t>
      </w:r>
      <w:r w:rsidDel="00000000" w:rsidR="00000000" w:rsidRPr="00000000">
        <w:rPr>
          <w:rFonts w:ascii="Calibri" w:cs="Calibri" w:eastAsia="Calibri" w:hAnsi="Calibri"/>
          <w:color w:val="333333"/>
          <w:sz w:val="18"/>
          <w:szCs w:val="18"/>
          <w:rtl w:val="0"/>
        </w:rPr>
        <w:t xml:space="preserve"> y del grupo </w:t>
      </w:r>
      <w:r w:rsidDel="00000000" w:rsidR="00000000" w:rsidRPr="00000000">
        <w:rPr>
          <w:rFonts w:ascii="Calibri" w:cs="Calibri" w:eastAsia="Calibri" w:hAnsi="Calibri"/>
          <w:i w:val="1"/>
          <w:color w:val="333333"/>
          <w:sz w:val="18"/>
          <w:szCs w:val="18"/>
          <w:rtl w:val="0"/>
        </w:rPr>
        <w:t xml:space="preserve">El Periférico de Objetos</w:t>
      </w:r>
      <w:r w:rsidDel="00000000" w:rsidR="00000000" w:rsidRPr="00000000">
        <w:rPr>
          <w:rFonts w:ascii="Calibri" w:cs="Calibri" w:eastAsia="Calibri" w:hAnsi="Calibri"/>
          <w:color w:val="333333"/>
          <w:sz w:val="18"/>
          <w:szCs w:val="18"/>
          <w:rtl w:val="0"/>
        </w:rPr>
        <w:t xml:space="preserve">. Su trabajo teatral lo ha llevado a participar en numerosos festivales internacionales y lo ha hecho merecedor de diversos premios nacionales. Es el primer artista del campo teatral argentino seleccionado para la beca </w:t>
      </w:r>
      <w:r w:rsidDel="00000000" w:rsidR="00000000" w:rsidRPr="00000000">
        <w:rPr>
          <w:rFonts w:ascii="Calibri" w:cs="Calibri" w:eastAsia="Calibri" w:hAnsi="Calibri"/>
          <w:i w:val="1"/>
          <w:color w:val="333333"/>
          <w:sz w:val="18"/>
          <w:szCs w:val="18"/>
          <w:rtl w:val="0"/>
        </w:rPr>
        <w:t xml:space="preserve">Akademie Schloss Solitude, </w:t>
      </w:r>
      <w:r w:rsidDel="00000000" w:rsidR="00000000" w:rsidRPr="00000000">
        <w:rPr>
          <w:rFonts w:ascii="Calibri" w:cs="Calibri" w:eastAsia="Calibri" w:hAnsi="Calibri"/>
          <w:color w:val="333333"/>
          <w:sz w:val="18"/>
          <w:szCs w:val="18"/>
          <w:rtl w:val="0"/>
        </w:rPr>
        <w:t xml:space="preserve">Stuttgart, Alemania. Funda en enero de 2010 junto a Cynthia Edul 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18"/>
          <w:szCs w:val="18"/>
          <w:rtl w:val="0"/>
        </w:rPr>
        <w:t xml:space="preserve">Panorama Sur</w:t>
      </w:r>
      <w:r w:rsidDel="00000000" w:rsidR="00000000" w:rsidRPr="00000000">
        <w:rPr>
          <w:rFonts w:ascii="Calibri" w:cs="Calibri" w:eastAsia="Calibri" w:hAnsi="Calibri"/>
          <w:color w:val="333333"/>
          <w:sz w:val="18"/>
          <w:szCs w:val="18"/>
          <w:rtl w:val="0"/>
        </w:rPr>
        <w:t xml:space="preserve">: plataforma de formación e intercambio para artistas con sede en la ciudad de Buenos Aires desempeñándose como director artístico. Proyecto en colaboración con Siemens Arts Program y el Goethe Institut. Sus piezas han sido estrenadas en Argentina, Brasil, Uruguay, Francia, España, Italia, Bélgica, Austria y Alemania y han sido traducidas al inglés, portugués, francés, italiano y alemán.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