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Agustina Peretti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Licenciada en Relaciones Internacionales de la Universidad Nacional de Rosario, ha cursado el Magister en Integración Latinoamericana de la Universidad Nacional de La Plata.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Experta en gestión cultural y cooperación internacional, cuenta con una amplia experiencia profesional en el desarrollo de acciones de internacionalización y promoción de la cultura argentina en el exterior.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Ha asistido a las más importantes ferias, bienales, mercados y festivales internacionales en diversas disciplinas del arte y la cultura.</w:t>
      </w:r>
      <w:r w:rsidDel="00000000" w:rsidR="00000000" w:rsidRPr="00000000">
        <w:rPr>
          <w:highlight w:val="white"/>
          <w:rtl w:val="0"/>
        </w:rPr>
        <w:t xml:space="preserve"> Asimismo, posee una larga trayectoria docente en materias vinculadas a las industrias culturales.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highlight w:val="white"/>
          <w:rtl w:val="0"/>
        </w:rPr>
        <w:t xml:space="preserve">Ha desempeñado diversos cargos tanto en la gestión pública local y nacional, como también en el sector privado. Entre ellos, ha sido Directora General de Promoción y Exportación de Bienes Culturales del Gobierno de la Ciudad de Buenos Aires, Gerente General de EPSA Music, Coordinadora del Sector de Promoción de Industrias Creativas de la Fundación Exportar (hoy </w:t>
      </w:r>
      <w:r w:rsidDel="00000000" w:rsidR="00000000" w:rsidRPr="00000000">
        <w:rPr>
          <w:i w:val="1"/>
          <w:highlight w:val="white"/>
          <w:rtl w:val="0"/>
        </w:rPr>
        <w:t xml:space="preserve">Agencia Argentina de Inversiones y Comercio Internacional), </w:t>
      </w:r>
      <w:r w:rsidDel="00000000" w:rsidR="00000000" w:rsidRPr="00000000">
        <w:rPr>
          <w:highlight w:val="white"/>
          <w:rtl w:val="0"/>
        </w:rPr>
        <w:t xml:space="preserve">además de otros cargos en el gobierno de la Ciudad y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El 1ro de noviembre de 2016 asumió como Directora Nacional de Promoción Exterior de la Cultura del Ministerio de Cultura de la Nación.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